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rPr>
          <w:rFonts w:ascii="Times New Roman" w:hAnsi="Times New Roman" w:cs="Times New Roman"/>
          <w:sz w:val="24"/>
        </w:rPr>
      </w:pPr>
    </w:p>
    <w:p w:rsidR="00465B2D" w:rsidRPr="00465B2D" w:rsidRDefault="00465B2D" w:rsidP="00465B2D">
      <w:pPr>
        <w:spacing w:line="480" w:lineRule="auto"/>
        <w:jc w:val="center"/>
        <w:rPr>
          <w:rFonts w:ascii="Times New Roman" w:hAnsi="Times New Roman" w:cs="Times New Roman"/>
          <w:sz w:val="24"/>
        </w:rPr>
      </w:pPr>
      <w:r w:rsidRPr="00465B2D">
        <w:rPr>
          <w:rFonts w:ascii="Times New Roman" w:hAnsi="Times New Roman" w:cs="Times New Roman"/>
          <w:sz w:val="24"/>
        </w:rPr>
        <w:t>Doctrinal Constraints U.S. v. Windsor</w:t>
      </w:r>
    </w:p>
    <w:p w:rsidR="00465B2D" w:rsidRPr="00465B2D" w:rsidRDefault="00465B2D" w:rsidP="00465B2D">
      <w:pPr>
        <w:spacing w:line="480" w:lineRule="auto"/>
        <w:jc w:val="center"/>
        <w:rPr>
          <w:rFonts w:ascii="Times New Roman" w:hAnsi="Times New Roman" w:cs="Times New Roman"/>
          <w:sz w:val="24"/>
        </w:rPr>
      </w:pPr>
      <w:r w:rsidRPr="00465B2D">
        <w:rPr>
          <w:rFonts w:ascii="Times New Roman" w:hAnsi="Times New Roman" w:cs="Times New Roman"/>
          <w:sz w:val="24"/>
        </w:rPr>
        <w:t>Name of Student</w:t>
      </w:r>
    </w:p>
    <w:p w:rsidR="00465B2D" w:rsidRPr="00465B2D" w:rsidRDefault="00465B2D" w:rsidP="00465B2D">
      <w:pPr>
        <w:spacing w:line="480" w:lineRule="auto"/>
        <w:jc w:val="center"/>
        <w:rPr>
          <w:rFonts w:ascii="Times New Roman" w:hAnsi="Times New Roman" w:cs="Times New Roman"/>
          <w:sz w:val="24"/>
        </w:rPr>
      </w:pPr>
      <w:r w:rsidRPr="00465B2D">
        <w:rPr>
          <w:rFonts w:ascii="Times New Roman" w:hAnsi="Times New Roman" w:cs="Times New Roman"/>
          <w:sz w:val="24"/>
        </w:rPr>
        <w:t>Name of Institution</w:t>
      </w:r>
    </w:p>
    <w:p w:rsidR="00465B2D" w:rsidRPr="00465B2D" w:rsidRDefault="00465B2D" w:rsidP="00465B2D">
      <w:pPr>
        <w:spacing w:line="480" w:lineRule="auto"/>
        <w:jc w:val="center"/>
        <w:rPr>
          <w:rFonts w:ascii="Times New Roman" w:hAnsi="Times New Roman" w:cs="Times New Roman"/>
          <w:sz w:val="24"/>
        </w:rPr>
      </w:pPr>
      <w:r w:rsidRPr="00465B2D">
        <w:rPr>
          <w:rFonts w:ascii="Times New Roman" w:hAnsi="Times New Roman" w:cs="Times New Roman"/>
          <w:sz w:val="24"/>
        </w:rPr>
        <w:t xml:space="preserve">Date </w:t>
      </w:r>
      <w:r w:rsidRPr="00465B2D">
        <w:rPr>
          <w:rFonts w:ascii="Times New Roman" w:hAnsi="Times New Roman" w:cs="Times New Roman"/>
          <w:sz w:val="24"/>
        </w:rPr>
        <w:br w:type="page"/>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lastRenderedPageBreak/>
        <w:t>Doctrinal analysis refers to the formal limitations placed on the courts in arguments and decisions based on court decisions and statutes from preceding cases, and also administrative regulations. In the case of U.S. v. Windsor, the analysis follows a dynamic and conservative view of the court, each with its set of observable limitations. The paper will follow the doctrinal analysis of the case, U.S. v. Windsor. The primary focus will be on the Consistent with the Dynamic Court View, U.S. v. Windsor illustrates how the law fails to constrain judicial discretion, suggesting that the law is unlikely to constrain the court when socially and politically controversial topics and vague laws come together.</w:t>
      </w:r>
    </w:p>
    <w:p w:rsidR="00465B2D" w:rsidRPr="00465B2D" w:rsidRDefault="00465B2D" w:rsidP="00465B2D">
      <w:pPr>
        <w:spacing w:line="480" w:lineRule="auto"/>
        <w:jc w:val="center"/>
        <w:rPr>
          <w:rFonts w:ascii="Times New Roman" w:hAnsi="Times New Roman" w:cs="Times New Roman"/>
          <w:b/>
          <w:sz w:val="24"/>
        </w:rPr>
      </w:pPr>
      <w:r w:rsidRPr="00465B2D">
        <w:rPr>
          <w:rFonts w:ascii="Times New Roman" w:hAnsi="Times New Roman" w:cs="Times New Roman"/>
          <w:b/>
          <w:sz w:val="24"/>
        </w:rPr>
        <w:t>Overview of Competing Views and Observable Implications</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The dynamic view relies on the ambiguity of the law, and thus grants the judges discretion over the argument. The view, therefore, has weak doctrinal constraints which grant the courts authority over social reforms. The courts also can act as a catalyst and provide publicity to the issue. The dynamic view implies that judges, in this case, may make use of their authority to create a new policy. Each judge is also subject to their political perceptions in decision making. Another significant implication is that the judges are not answerable to anyone, and hence their decisions are the right ones, independent of whether anyone agrees with them. </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The basis of the constrained view of the court is a strong doctrinal constraint. The authority of the court is for legislative checks and not amending or invalidating legislation enacted democratically. The perceived limitations of the court on this view emanate from the evaluation that they lack the proper tools that are appropriate in the development of policies and implementation of decisions. The observable implications detail that the strictness of law binds the judges such that they cannot make new policy. </w:t>
      </w:r>
    </w:p>
    <w:p w:rsidR="00465B2D" w:rsidRPr="00465B2D" w:rsidRDefault="00465B2D" w:rsidP="00465B2D">
      <w:pPr>
        <w:spacing w:line="480" w:lineRule="auto"/>
        <w:ind w:firstLine="720"/>
        <w:jc w:val="center"/>
        <w:rPr>
          <w:rFonts w:ascii="Times New Roman" w:hAnsi="Times New Roman" w:cs="Times New Roman"/>
          <w:b/>
          <w:sz w:val="24"/>
        </w:rPr>
      </w:pPr>
      <w:r w:rsidRPr="00465B2D">
        <w:rPr>
          <w:rFonts w:ascii="Times New Roman" w:hAnsi="Times New Roman" w:cs="Times New Roman"/>
          <w:b/>
          <w:sz w:val="24"/>
        </w:rPr>
        <w:lastRenderedPageBreak/>
        <w:t>Summary of Decision and Its Relevant Background</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The Defense of Marriage Act only recognizes heterosexual marriages between a man and a woman. In this case, Windsor's spouse, Thea Clara Spyer, died leaving the former her estate. However, Windsor was taxed on the estate even though their home state of New York recognized their marriage. The argument by Windsor is that DOMA violates her 5th amendment right to equal protection, and is thus unconstitutional. On those grounds, she requests compensation for the taxes levied on the estate. However, the United States government did not recognize their marriage. Therefore, a contradiction emerged between the federal and state regulations for same-sex marriages. DOMA, however, grants the federal government sovereign power to interfere with the dignity of same-sex marriages. The decision of the court voted five to four in favor of Windsor, ruling that DOMA is in violation of the due process and equal rights clause for same-sex couples detailed in the 5th amendment. </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The judges divided into conservative and liberal rulings, and Justice Kennedy served as the swing vote. The due process of the 5th amendment demands that the liberty of each citizen is protected from denial of any form of equal protection of the law. DOMA regulations injure same-sex married couples, a group whom the state of New York seeks to protect. Therefore, DOMA is in violation of the necessary due process and equal protection principles. </w:t>
      </w:r>
    </w:p>
    <w:p w:rsidR="00465B2D" w:rsidRPr="00465B2D" w:rsidRDefault="00465B2D" w:rsidP="00465B2D">
      <w:pPr>
        <w:spacing w:line="480" w:lineRule="auto"/>
        <w:ind w:firstLine="720"/>
        <w:jc w:val="center"/>
        <w:rPr>
          <w:rFonts w:ascii="Times New Roman" w:hAnsi="Times New Roman" w:cs="Times New Roman"/>
          <w:b/>
          <w:sz w:val="24"/>
        </w:rPr>
      </w:pPr>
      <w:r w:rsidRPr="00465B2D">
        <w:rPr>
          <w:rFonts w:ascii="Times New Roman" w:hAnsi="Times New Roman" w:cs="Times New Roman"/>
          <w:b/>
          <w:sz w:val="24"/>
        </w:rPr>
        <w:t>Analysis</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Behavioral analysis indicates that the judges split their rulings 5 in favor to 4 against on ideological perceptions. The Justices used similar facts to drive to different conclusions, which, for the most part, aligned with their political perceptions. The split decision illustrates that </w:t>
      </w:r>
      <w:r w:rsidRPr="00465B2D">
        <w:rPr>
          <w:rFonts w:ascii="Times New Roman" w:hAnsi="Times New Roman" w:cs="Times New Roman"/>
          <w:sz w:val="24"/>
        </w:rPr>
        <w:lastRenderedPageBreak/>
        <w:t xml:space="preserve">different judges saw the law to have different meanings, and each evaluated the relevance differently. Therefore, the law does not constrain for this case. </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The governing law was the stipulations of the equal protection provided by the 5th amendment to find DOMA unconstitutional. The law, however, brought about split decisions between the majority and dissenting opinions leading to two varied conclusions. The constitutional principles are thus nor effective in the ruling for the case. The argument of the two opinions is on whether they apply the correct law, and how to interpret it. The arguments placed for dissents follow the conservative line. Justice Scalia's criticism is that the majority do not apply the equal opportunity clause correctly by quoting the 14th amendment. Scalia argues the clause is not a solid base for the ruling as about this case. The dissenting opinion also holds that the majority contradict in their arguments about constitutional rights. Scalia mainly evaluates that the quoting of Lawrence v. Texas, for the majority opinion confuses since the case quoted is not an equal protection case. </w:t>
      </w:r>
    </w:p>
    <w:p w:rsidR="00465B2D"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Justice Alito's arguments dictate that the constitution does not support same-sex marriages, and thus should not be implied to support this case. Alito holds that such changes are fundamental, and as such need to come from the people through the legislation process. Therefore, Alito proposes the resolution of the case at the state level. </w:t>
      </w:r>
    </w:p>
    <w:p w:rsidR="00465B2D" w:rsidRPr="00465B2D" w:rsidRDefault="00465B2D" w:rsidP="00465B2D">
      <w:pPr>
        <w:spacing w:line="480" w:lineRule="auto"/>
        <w:ind w:firstLine="720"/>
        <w:jc w:val="center"/>
        <w:rPr>
          <w:rFonts w:ascii="Times New Roman" w:hAnsi="Times New Roman" w:cs="Times New Roman"/>
          <w:b/>
          <w:sz w:val="24"/>
        </w:rPr>
      </w:pPr>
      <w:r w:rsidRPr="00465B2D">
        <w:rPr>
          <w:rFonts w:ascii="Times New Roman" w:hAnsi="Times New Roman" w:cs="Times New Roman"/>
          <w:b/>
          <w:sz w:val="24"/>
        </w:rPr>
        <w:t>Conclusion</w:t>
      </w:r>
    </w:p>
    <w:p w:rsidR="007726E0" w:rsidRPr="00465B2D" w:rsidRDefault="00465B2D" w:rsidP="00465B2D">
      <w:pPr>
        <w:spacing w:line="480" w:lineRule="auto"/>
        <w:ind w:firstLine="720"/>
        <w:rPr>
          <w:rFonts w:ascii="Times New Roman" w:hAnsi="Times New Roman" w:cs="Times New Roman"/>
          <w:sz w:val="24"/>
        </w:rPr>
      </w:pPr>
      <w:r w:rsidRPr="00465B2D">
        <w:rPr>
          <w:rFonts w:ascii="Times New Roman" w:hAnsi="Times New Roman" w:cs="Times New Roman"/>
          <w:sz w:val="24"/>
        </w:rPr>
        <w:t xml:space="preserve">Whenever the law is ambiguous, mostly within the element of a highly politicized case, it is implausible that it will be constrained. The social and cultural issues and perceptions form the basis of dominant ideological preferences. The case above details how ideological differences split the rule of the justices with the dissents following conservative arguments, and majority </w:t>
      </w:r>
      <w:r w:rsidRPr="00465B2D">
        <w:rPr>
          <w:rFonts w:ascii="Times New Roman" w:hAnsi="Times New Roman" w:cs="Times New Roman"/>
          <w:sz w:val="24"/>
        </w:rPr>
        <w:lastRenderedPageBreak/>
        <w:t xml:space="preserve">following liberal arguments. The case the U.S. v. Windsor indicates the evaluation where considerations for political topics and ambiguity of the law form the basis of the ruling. </w:t>
      </w:r>
      <w:r w:rsidR="007726E0" w:rsidRPr="00465B2D">
        <w:rPr>
          <w:rFonts w:ascii="Times New Roman" w:hAnsi="Times New Roman" w:cs="Times New Roman"/>
          <w:sz w:val="24"/>
        </w:rPr>
        <w:br w:type="page"/>
      </w:r>
    </w:p>
    <w:p w:rsidR="004B5588" w:rsidRPr="00465B2D" w:rsidRDefault="007726E0" w:rsidP="00465B2D">
      <w:pPr>
        <w:spacing w:after="0" w:line="480" w:lineRule="auto"/>
        <w:jc w:val="center"/>
        <w:rPr>
          <w:rFonts w:ascii="Times New Roman" w:hAnsi="Times New Roman" w:cs="Times New Roman"/>
          <w:sz w:val="24"/>
        </w:rPr>
      </w:pPr>
      <w:r w:rsidRPr="00465B2D">
        <w:rPr>
          <w:rFonts w:ascii="Times New Roman" w:hAnsi="Times New Roman" w:cs="Times New Roman"/>
          <w:sz w:val="24"/>
        </w:rPr>
        <w:lastRenderedPageBreak/>
        <w:t>References</w:t>
      </w:r>
    </w:p>
    <w:p w:rsidR="007726E0" w:rsidRPr="00465B2D" w:rsidRDefault="007726E0" w:rsidP="00465B2D">
      <w:pPr>
        <w:spacing w:line="480" w:lineRule="auto"/>
        <w:ind w:left="720" w:hanging="720"/>
        <w:rPr>
          <w:rFonts w:ascii="Times New Roman" w:hAnsi="Times New Roman" w:cs="Times New Roman"/>
          <w:sz w:val="24"/>
        </w:rPr>
      </w:pPr>
      <w:r w:rsidRPr="00465B2D">
        <w:rPr>
          <w:rFonts w:ascii="Times New Roman" w:hAnsi="Times New Roman" w:cs="Times New Roman"/>
          <w:sz w:val="24"/>
        </w:rPr>
        <w:t xml:space="preserve">United States v. Windsor. (n.d), Oyez. Retrieved September 24, 2019, from </w:t>
      </w:r>
      <w:hyperlink r:id="rId6" w:history="1">
        <w:r w:rsidRPr="00465B2D">
          <w:rPr>
            <w:rStyle w:val="Hyperlink"/>
            <w:rFonts w:ascii="Times New Roman" w:hAnsi="Times New Roman" w:cs="Times New Roman"/>
            <w:color w:val="auto"/>
            <w:sz w:val="24"/>
          </w:rPr>
          <w:t>https://www.oyes.org/cases/2012/12-307</w:t>
        </w:r>
      </w:hyperlink>
      <w:r w:rsidRPr="00465B2D">
        <w:rPr>
          <w:rFonts w:ascii="Times New Roman" w:hAnsi="Times New Roman" w:cs="Times New Roman"/>
          <w:sz w:val="24"/>
        </w:rPr>
        <w:t xml:space="preserve"> </w:t>
      </w:r>
    </w:p>
    <w:sectPr w:rsidR="007726E0" w:rsidRPr="00465B2D" w:rsidSect="00465B2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7C4B" w:rsidRDefault="008A7C4B" w:rsidP="00465B2D">
      <w:pPr>
        <w:spacing w:after="0" w:line="240" w:lineRule="auto"/>
      </w:pPr>
      <w:r>
        <w:separator/>
      </w:r>
    </w:p>
  </w:endnote>
  <w:endnote w:type="continuationSeparator" w:id="1">
    <w:p w:rsidR="008A7C4B" w:rsidRDefault="008A7C4B" w:rsidP="00465B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7C4B" w:rsidRDefault="008A7C4B" w:rsidP="00465B2D">
      <w:pPr>
        <w:spacing w:after="0" w:line="240" w:lineRule="auto"/>
      </w:pPr>
      <w:r>
        <w:separator/>
      </w:r>
    </w:p>
  </w:footnote>
  <w:footnote w:type="continuationSeparator" w:id="1">
    <w:p w:rsidR="008A7C4B" w:rsidRDefault="008A7C4B" w:rsidP="00465B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D" w:rsidRPr="00465B2D" w:rsidRDefault="00465B2D">
    <w:pPr>
      <w:pStyle w:val="Header"/>
      <w:jc w:val="right"/>
      <w:rPr>
        <w:rFonts w:ascii="Times New Roman" w:hAnsi="Times New Roman" w:cs="Times New Roman"/>
        <w:sz w:val="24"/>
      </w:rPr>
    </w:pPr>
    <w:r w:rsidRPr="00465B2D">
      <w:rPr>
        <w:rFonts w:ascii="Times New Roman" w:hAnsi="Times New Roman" w:cs="Times New Roman"/>
        <w:sz w:val="24"/>
      </w:rPr>
      <w:t>DOCTRINAL CONSTRAINTS U.S. V. WINDSOR</w:t>
    </w:r>
    <w:r w:rsidRPr="00465B2D">
      <w:rPr>
        <w:rFonts w:ascii="Times New Roman" w:hAnsi="Times New Roman" w:cs="Times New Roman"/>
        <w:sz w:val="24"/>
      </w:rPr>
      <w:tab/>
    </w:r>
    <w:sdt>
      <w:sdtPr>
        <w:rPr>
          <w:rFonts w:ascii="Times New Roman" w:hAnsi="Times New Roman" w:cs="Times New Roman"/>
          <w:sz w:val="24"/>
        </w:rPr>
        <w:id w:val="176179438"/>
        <w:docPartObj>
          <w:docPartGallery w:val="Page Numbers (Top of Page)"/>
          <w:docPartUnique/>
        </w:docPartObj>
      </w:sdtPr>
      <w:sdtContent>
        <w:r w:rsidRPr="00465B2D">
          <w:rPr>
            <w:rFonts w:ascii="Times New Roman" w:hAnsi="Times New Roman" w:cs="Times New Roman"/>
            <w:sz w:val="24"/>
          </w:rPr>
          <w:fldChar w:fldCharType="begin"/>
        </w:r>
        <w:r w:rsidRPr="00465B2D">
          <w:rPr>
            <w:rFonts w:ascii="Times New Roman" w:hAnsi="Times New Roman" w:cs="Times New Roman"/>
            <w:sz w:val="24"/>
          </w:rPr>
          <w:instrText xml:space="preserve"> PAGE   \* MERGEFORMAT </w:instrText>
        </w:r>
        <w:r w:rsidRPr="00465B2D">
          <w:rPr>
            <w:rFonts w:ascii="Times New Roman" w:hAnsi="Times New Roman" w:cs="Times New Roman"/>
            <w:sz w:val="24"/>
          </w:rPr>
          <w:fldChar w:fldCharType="separate"/>
        </w:r>
        <w:r>
          <w:rPr>
            <w:rFonts w:ascii="Times New Roman" w:hAnsi="Times New Roman" w:cs="Times New Roman"/>
            <w:noProof/>
            <w:sz w:val="24"/>
          </w:rPr>
          <w:t>6</w:t>
        </w:r>
        <w:r w:rsidRPr="00465B2D">
          <w:rPr>
            <w:rFonts w:ascii="Times New Roman" w:hAnsi="Times New Roman" w:cs="Times New Roman"/>
            <w:sz w:val="24"/>
          </w:rPr>
          <w:fldChar w:fldCharType="end"/>
        </w:r>
      </w:sdtContent>
    </w:sdt>
  </w:p>
  <w:p w:rsidR="00465B2D" w:rsidRPr="00465B2D" w:rsidRDefault="00465B2D">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B2D" w:rsidRPr="00465B2D" w:rsidRDefault="00465B2D">
    <w:pPr>
      <w:pStyle w:val="Header"/>
      <w:jc w:val="right"/>
      <w:rPr>
        <w:rFonts w:ascii="Times New Roman" w:hAnsi="Times New Roman" w:cs="Times New Roman"/>
        <w:sz w:val="24"/>
      </w:rPr>
    </w:pPr>
    <w:r w:rsidRPr="00465B2D">
      <w:rPr>
        <w:rFonts w:ascii="Times New Roman" w:hAnsi="Times New Roman" w:cs="Times New Roman"/>
        <w:sz w:val="24"/>
      </w:rPr>
      <w:t xml:space="preserve">Running Head: DOCTRINAL CONSTRAINTS U.S. V. WINDSOR </w:t>
    </w:r>
    <w:r w:rsidRPr="00465B2D">
      <w:rPr>
        <w:rFonts w:ascii="Times New Roman" w:hAnsi="Times New Roman" w:cs="Times New Roman"/>
        <w:sz w:val="24"/>
      </w:rPr>
      <w:tab/>
    </w:r>
    <w:sdt>
      <w:sdtPr>
        <w:rPr>
          <w:rFonts w:ascii="Times New Roman" w:hAnsi="Times New Roman" w:cs="Times New Roman"/>
          <w:sz w:val="24"/>
        </w:rPr>
        <w:id w:val="176179482"/>
        <w:docPartObj>
          <w:docPartGallery w:val="Page Numbers (Top of Page)"/>
          <w:docPartUnique/>
        </w:docPartObj>
      </w:sdtPr>
      <w:sdtContent>
        <w:r w:rsidRPr="00465B2D">
          <w:rPr>
            <w:rFonts w:ascii="Times New Roman" w:hAnsi="Times New Roman" w:cs="Times New Roman"/>
            <w:sz w:val="24"/>
          </w:rPr>
          <w:fldChar w:fldCharType="begin"/>
        </w:r>
        <w:r w:rsidRPr="00465B2D">
          <w:rPr>
            <w:rFonts w:ascii="Times New Roman" w:hAnsi="Times New Roman" w:cs="Times New Roman"/>
            <w:sz w:val="24"/>
          </w:rPr>
          <w:instrText xml:space="preserve"> PAGE   \* MERGEFORMAT </w:instrText>
        </w:r>
        <w:r w:rsidRPr="00465B2D">
          <w:rPr>
            <w:rFonts w:ascii="Times New Roman" w:hAnsi="Times New Roman" w:cs="Times New Roman"/>
            <w:sz w:val="24"/>
          </w:rPr>
          <w:fldChar w:fldCharType="separate"/>
        </w:r>
        <w:r>
          <w:rPr>
            <w:rFonts w:ascii="Times New Roman" w:hAnsi="Times New Roman" w:cs="Times New Roman"/>
            <w:noProof/>
            <w:sz w:val="24"/>
          </w:rPr>
          <w:t>1</w:t>
        </w:r>
        <w:r w:rsidRPr="00465B2D">
          <w:rPr>
            <w:rFonts w:ascii="Times New Roman" w:hAnsi="Times New Roman" w:cs="Times New Roman"/>
            <w:sz w:val="24"/>
          </w:rPr>
          <w:fldChar w:fldCharType="end"/>
        </w:r>
      </w:sdtContent>
    </w:sdt>
  </w:p>
  <w:p w:rsidR="00465B2D" w:rsidRPr="00465B2D" w:rsidRDefault="00465B2D">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16E33"/>
    <w:rsid w:val="00261803"/>
    <w:rsid w:val="0040457A"/>
    <w:rsid w:val="00416E33"/>
    <w:rsid w:val="00465B2D"/>
    <w:rsid w:val="004B5588"/>
    <w:rsid w:val="00770827"/>
    <w:rsid w:val="007726E0"/>
    <w:rsid w:val="008A7C4B"/>
    <w:rsid w:val="00E03B70"/>
    <w:rsid w:val="00EE27DE"/>
    <w:rsid w:val="00F248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16E3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726E0"/>
    <w:rPr>
      <w:color w:val="0000FF" w:themeColor="hyperlink"/>
      <w:u w:val="single"/>
    </w:rPr>
  </w:style>
  <w:style w:type="paragraph" w:styleId="Header">
    <w:name w:val="header"/>
    <w:basedOn w:val="Normal"/>
    <w:link w:val="HeaderChar"/>
    <w:uiPriority w:val="99"/>
    <w:unhideWhenUsed/>
    <w:rsid w:val="00465B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B2D"/>
  </w:style>
  <w:style w:type="paragraph" w:styleId="Footer">
    <w:name w:val="footer"/>
    <w:basedOn w:val="Normal"/>
    <w:link w:val="FooterChar"/>
    <w:uiPriority w:val="99"/>
    <w:semiHidden/>
    <w:unhideWhenUsed/>
    <w:rsid w:val="00465B2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65B2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oyes.org/cases/2012/12-307"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220</TotalTime>
  <Pages>6</Pages>
  <Words>897</Words>
  <Characters>5116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2019-09-23T23:13:00Z</dcterms:created>
  <dcterms:modified xsi:type="dcterms:W3CDTF">2019-09-24T02:53:00Z</dcterms:modified>
</cp:coreProperties>
</file>